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72" w:val="left"/>
        </w:tabs>
        <w:autoSpaceDE w:val="0"/>
        <w:widowControl/>
        <w:spacing w:line="254" w:lineRule="exact" w:before="0" w:after="0"/>
        <w:ind w:left="1320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76" w:lineRule="exact" w:before="562" w:after="0"/>
        <w:ind w:left="340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GRUPO I – CLASSE – VII – Plenário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TC 009.048/2025-1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Natureza: Denúncia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Unidade Jurisdicionada: Secretária Estadual de Infraestrutura do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Rio Grande do Norte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Responsável:  Identidade preservada (art. 55, caput, da Lei n.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8.443/1992). </w:t>
      </w:r>
    </w:p>
    <w:p>
      <w:pPr>
        <w:autoSpaceDN w:val="0"/>
        <w:autoSpaceDE w:val="0"/>
        <w:widowControl/>
        <w:spacing w:line="276" w:lineRule="exact" w:before="0" w:after="0"/>
        <w:ind w:left="340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Interessado:  Identidade preservada (art. 55, caput, da Lei n.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8.443/1992). </w:t>
      </w:r>
    </w:p>
    <w:p>
      <w:pPr>
        <w:autoSpaceDN w:val="0"/>
        <w:autoSpaceDE w:val="0"/>
        <w:widowControl/>
        <w:spacing w:line="266" w:lineRule="exact" w:before="10" w:after="0"/>
        <w:ind w:left="0" w:right="3854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Representação legal: não há </w:t>
      </w:r>
    </w:p>
    <w:p>
      <w:pPr>
        <w:autoSpaceDN w:val="0"/>
        <w:autoSpaceDE w:val="0"/>
        <w:widowControl/>
        <w:spacing w:line="266" w:lineRule="exact" w:before="286" w:after="4"/>
        <w:ind w:left="0" w:right="22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SUMÁRIO: DENÚNCIA. POSSÍVEIS IRREGULARIDADES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682" w:type="dxa"/>
      </w:tblPr>
      <w:tblGrid>
        <w:gridCol w:w="3260" w:type="dxa"/>
        <w:gridCol w:w="620" w:type="dxa"/>
        <w:gridCol w:w="2120" w:type="dxa"/>
        <w:gridCol w:w="1780" w:type="dxa"/>
        <w:gridCol w:w="520" w:type="dxa"/>
      </w:tblGrid>
      <w:tr>
        <w:trPr>
          <w:trHeight w:hRule="exact" w:val="276"/>
        </w:trPr>
        <w:tc>
          <w:tcPr>
            <w:tcW w:type="dxa" w:w="32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6" w:after="0"/>
              <w:ind w:left="0" w:right="94" w:firstLine="0"/>
              <w:jc w:val="right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OCORRIDAS </w:t>
            </w:r>
          </w:p>
        </w:tc>
        <w:tc>
          <w:tcPr>
            <w:tcW w:type="dxa" w:w="6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6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EM </w:t>
            </w:r>
          </w:p>
        </w:tc>
        <w:tc>
          <w:tcPr>
            <w:tcW w:type="dxa" w:w="21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6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PROCEDIMENTO </w:t>
            </w:r>
          </w:p>
        </w:tc>
        <w:tc>
          <w:tcPr>
            <w:tcW w:type="dxa" w:w="17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6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LICITATÓRIO </w:t>
            </w:r>
          </w:p>
        </w:tc>
        <w:tc>
          <w:tcPr>
            <w:tcW w:type="dxa" w:w="5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6" w:after="0"/>
              <w:ind w:left="112" w:right="0" w:firstLine="0"/>
              <w:jc w:val="left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DA </w:t>
            </w:r>
          </w:p>
        </w:tc>
      </w:tr>
    </w:tbl>
    <w:p>
      <w:pPr>
        <w:autoSpaceDN w:val="0"/>
        <w:autoSpaceDE w:val="0"/>
        <w:widowControl/>
        <w:spacing w:line="274" w:lineRule="exact" w:before="0" w:after="6"/>
        <w:ind w:left="3312" w:right="22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SECRETARIA ESTADUAL DE INFRAESTRUTURA DO RIO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GRANDE DO NORTE. CONTRATAÇÃO DE EMPRESA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1682" w:type="dxa"/>
      </w:tblPr>
      <w:tblGrid>
        <w:gridCol w:w="3740" w:type="dxa"/>
        <w:gridCol w:w="920" w:type="dxa"/>
        <w:gridCol w:w="1600" w:type="dxa"/>
        <w:gridCol w:w="600" w:type="dxa"/>
        <w:gridCol w:w="940" w:type="dxa"/>
        <w:gridCol w:w="500" w:type="dxa"/>
      </w:tblGrid>
      <w:tr>
        <w:trPr>
          <w:trHeight w:hRule="exact" w:val="276"/>
        </w:trPr>
        <w:tc>
          <w:tcPr>
            <w:tcW w:type="dxa" w:w="37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94" w:firstLine="0"/>
              <w:jc w:val="right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ESPECIALIZADA </w:t>
            </w:r>
          </w:p>
        </w:tc>
        <w:tc>
          <w:tcPr>
            <w:tcW w:type="dxa" w:w="9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PARA </w:t>
            </w:r>
          </w:p>
        </w:tc>
        <w:tc>
          <w:tcPr>
            <w:tcW w:type="dxa" w:w="16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EXECUÇÃO </w:t>
            </w:r>
          </w:p>
        </w:tc>
        <w:tc>
          <w:tcPr>
            <w:tcW w:type="dxa" w:w="6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DE </w:t>
            </w:r>
          </w:p>
        </w:tc>
        <w:tc>
          <w:tcPr>
            <w:tcW w:type="dxa" w:w="94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OBRA </w:t>
            </w:r>
          </w:p>
        </w:tc>
        <w:tc>
          <w:tcPr>
            <w:tcW w:type="dxa" w:w="50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118" w:right="0" w:firstLine="0"/>
              <w:jc w:val="left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DE </w:t>
            </w:r>
          </w:p>
        </w:tc>
      </w:tr>
    </w:tbl>
    <w:p>
      <w:pPr>
        <w:autoSpaceDN w:val="0"/>
        <w:autoSpaceDE w:val="0"/>
        <w:widowControl/>
        <w:spacing w:line="2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1682" w:type="dxa"/>
      </w:tblPr>
      <w:tblGrid>
        <w:gridCol w:w="3580" w:type="dxa"/>
        <w:gridCol w:w="780" w:type="dxa"/>
        <w:gridCol w:w="1580" w:type="dxa"/>
        <w:gridCol w:w="2320" w:type="dxa"/>
      </w:tblGrid>
      <w:tr>
        <w:trPr>
          <w:trHeight w:hRule="exact" w:val="274"/>
        </w:trPr>
        <w:tc>
          <w:tcPr>
            <w:tcW w:type="dxa" w:w="35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174" w:firstLine="0"/>
              <w:jc w:val="right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CONSTRUÇÃO </w:t>
            </w:r>
          </w:p>
        </w:tc>
        <w:tc>
          <w:tcPr>
            <w:tcW w:type="dxa" w:w="7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DO </w:t>
            </w:r>
          </w:p>
        </w:tc>
        <w:tc>
          <w:tcPr>
            <w:tcW w:type="dxa" w:w="15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0" w:right="0" w:firstLine="0"/>
              <w:jc w:val="center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 xml:space="preserve">HOSPITAL </w:t>
            </w:r>
          </w:p>
        </w:tc>
        <w:tc>
          <w:tcPr>
            <w:tcW w:type="dxa" w:w="23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66" w:lineRule="exact" w:before="4" w:after="0"/>
              <w:ind w:left="200" w:right="0" w:firstLine="0"/>
              <w:jc w:val="left"/>
            </w:pPr>
            <w:r>
              <w:rPr>
                <w:spacing w:val="-10"/>
                <w:rFonts w:ascii="Times New Roman" w:hAnsi="Times New Roman" w:eastAsia="Times New Roman"/>
                <w:color w:val="000000"/>
                <w:sz w:val="24"/>
              </w:rPr>
              <w:t>METROPOLITANO.</w:t>
            </w:r>
          </w:p>
        </w:tc>
      </w:tr>
    </w:tbl>
    <w:p>
      <w:pPr>
        <w:autoSpaceDN w:val="0"/>
        <w:autoSpaceDE w:val="0"/>
        <w:widowControl/>
        <w:spacing w:line="274" w:lineRule="exact" w:before="0" w:after="0"/>
        <w:ind w:left="340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SUPOSTO DIRECIONAMENTO DO CERTAME. ADOÇÃO DE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MEDIDA CAUTELAR. OITIVAS. DILIGÊNCIAS. </w:t>
      </w:r>
    </w:p>
    <w:p>
      <w:pPr>
        <w:autoSpaceDN w:val="0"/>
        <w:autoSpaceDE w:val="0"/>
        <w:widowControl/>
        <w:spacing w:line="266" w:lineRule="exact" w:before="1114" w:after="0"/>
        <w:ind w:left="0" w:right="0" w:firstLine="0"/>
        <w:jc w:val="center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RELATÓRIO </w:t>
      </w:r>
    </w:p>
    <w:p>
      <w:pPr>
        <w:autoSpaceDN w:val="0"/>
        <w:tabs>
          <w:tab w:pos="1134" w:val="left"/>
        </w:tabs>
        <w:autoSpaceDE w:val="0"/>
        <w:widowControl/>
        <w:spacing w:line="276" w:lineRule="exact" w:before="552" w:after="0"/>
        <w:ind w:left="0" w:right="0" w:firstLine="0"/>
        <w:jc w:val="left"/>
      </w:pP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Adoto como relatório o despacho que fundamentou a concessão da medida cautelar ora em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apreciação (peça número 23): </w:t>
      </w:r>
    </w:p>
    <w:p>
      <w:pPr>
        <w:autoSpaceDN w:val="0"/>
        <w:autoSpaceDE w:val="0"/>
        <w:widowControl/>
        <w:spacing w:line="254" w:lineRule="exact" w:before="120" w:after="0"/>
        <w:ind w:left="1134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“Cuidam os autos de denúncia, com pedido de adoção de medida cautelar, a respeito de possíveis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irregularidades ocorridas na Concorrência 90020/2024, da Secretaria Estadual de Infraestrutura do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Rio Grande do Norte, cujo objeto é a contratação de empresa especializada para execução de obra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construção do Hospital Metropolitano do Rio Grande do Norte, com valor estimado de R$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241.165.236,73 (peça 13). </w:t>
      </w:r>
    </w:p>
    <w:p>
      <w:pPr>
        <w:autoSpaceDN w:val="0"/>
        <w:autoSpaceDE w:val="0"/>
        <w:widowControl/>
        <w:spacing w:line="252" w:lineRule="exact" w:before="120" w:after="0"/>
        <w:ind w:left="1134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2. O certame, regido pela Lei 14.133/2021, foi homologado em 10/6/2025 em favor da empresa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Construtora Ramalho Moreira Ltda., pelo valor de R$ 200.777.000,00. Até o presente momento,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não há informação nos autos sobre a assinatura do respectivo contrato. </w:t>
      </w:r>
    </w:p>
    <w:p>
      <w:pPr>
        <w:autoSpaceDN w:val="0"/>
        <w:autoSpaceDE w:val="0"/>
        <w:widowControl/>
        <w:spacing w:line="252" w:lineRule="exact" w:before="122" w:after="0"/>
        <w:ind w:left="1134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3. Em síntese, o denunciante alega que a licitação foi conduzida de forma a direcionar o contrato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para a quarta empresa classificada, por meio de um encadeamento de atos que violaram 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princípios da isonomia, da publicidade e da razoabilidade, notadamente: </w:t>
      </w:r>
    </w:p>
    <w:p>
      <w:pPr>
        <w:autoSpaceDN w:val="0"/>
        <w:autoSpaceDE w:val="0"/>
        <w:widowControl/>
        <w:spacing w:line="252" w:lineRule="exact" w:before="120" w:after="0"/>
        <w:ind w:left="1134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a) a inabilitação irregular da primeira colocada (Comtérmica), sob o pretexto de não atendimento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uma diligência para reapresentação de documentos supostamente ilegíveis (peça 13, pp. 2-3).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Argumenta que a comissão de licitação, quebrando o padrão de comunicações anteriores, não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estabeleceu um prazo expresso e público no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chat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do certame; em vez disso, teria fixado um prazo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exíguo em canal privado, sem emitir o ‘despacho fundamentado’ exigido pelo edital (peça 18) para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especificar quais, dentre centenas de páginas, seriam os documentos com problemas de legibilidade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(peça 13, pp. 14-15); </w:t>
      </w:r>
    </w:p>
    <w:p>
      <w:pPr>
        <w:autoSpaceDN w:val="0"/>
        <w:autoSpaceDE w:val="0"/>
        <w:widowControl/>
        <w:spacing w:line="252" w:lineRule="exact" w:before="122" w:after="0"/>
        <w:ind w:left="1134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b) a desclassificação desarrazoada da segunda colocada (Uchôa Construções Ltda.), por um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formalismo excessivo. A empresa foi inabilitada por não comprovar experiência com a instalação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elevadores de exatamente ‘seis paradas’, embora tenha apresentado atestados para equipamentos </w:t>
      </w:r>
    </w:p>
    <w:p>
      <w:pPr>
        <w:autoSpaceDN w:val="0"/>
        <w:autoSpaceDE w:val="0"/>
        <w:widowControl/>
        <w:spacing w:line="266" w:lineRule="exact" w:before="142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 </w:t>
      </w:r>
    </w:p>
    <w:p>
      <w:pPr>
        <w:autoSpaceDN w:val="0"/>
        <w:autoSpaceDE w:val="0"/>
        <w:widowControl/>
        <w:spacing w:line="220" w:lineRule="exact" w:before="570" w:after="0"/>
        <w:ind w:left="1232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78351368.</w:t>
      </w:r>
    </w:p>
    <w:p>
      <w:pPr>
        <w:sectPr>
          <w:pgSz w:w="11906" w:h="16838"/>
          <w:pgMar w:top="564" w:right="486" w:bottom="6" w:left="1418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50" w:val="left"/>
        </w:tabs>
        <w:autoSpaceDE w:val="0"/>
        <w:widowControl/>
        <w:spacing w:line="254" w:lineRule="exact" w:before="0" w:after="0"/>
        <w:ind w:left="1298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52" w:lineRule="exact" w:before="28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‘cinco paradas’. O denunciante sustenta que a diferença é tecnicamente irrelevante para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construtora, uma vez que a complexidade da instalação cabe ao próprio fabricante do equipamento,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tornando a exigência uma barreira desproporcional à competitividade (peça 13, pp. 4 e 19-20); </w:t>
      </w:r>
    </w:p>
    <w:p>
      <w:pPr>
        <w:autoSpaceDN w:val="0"/>
        <w:autoSpaceDE w:val="0"/>
        <w:widowControl/>
        <w:spacing w:line="252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c) a omissão da terceira colocada em apresentar sua documentação, ato que, no contexto das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irregularidades anteriores, é apontado como o último passo que pavimentou o caminho para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contratação da quarta colocada, uma empresa local que, segundo a denúncia, possui outros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contratos com a administração estadual, o que reforçaria a suspeita de direcionamento e causaria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nítido prejuízo ao erário (peça 13, pp. 4 e 23).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4. Aponta, por fim, a ausência de publicidade e fundamentação em diversas decisões da comissão,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em afronta direta aos itens 9.1.3.3 e 9.15 do edital e à Lei 14.133/2021 (peça 13, p. 15-17),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requerendo, por essa razão, a suspensão imediata do certame para evitar dano irreversível ao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interesse público (peça 13, p. 34-35). </w:t>
      </w:r>
    </w:p>
    <w:p>
      <w:pPr>
        <w:autoSpaceDN w:val="0"/>
        <w:autoSpaceDE w:val="0"/>
        <w:widowControl/>
        <w:spacing w:line="252" w:lineRule="exact" w:before="122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5. Após análise dos autos, a unidade instrutora (AudContratações) manifestou-se pela presença dos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pressupostos para a adoção de medida cautelar (peça 20).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6. 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periculum in mora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restou configurado pela homologação do certame em 10/6/2025, havendo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risco iminente de assinatura do contrato e de consequente ineficácia de uma decisão de mérito desta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Corte. Em contrapartida, a unidade instrutora afastou a ocorrência do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periculum in mora reverso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ao ponderar que o objeto da licitação (construção de hospital) é uma medida de médio prazo, 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modo que uma suspensão temporária para a apuração dos fatos não acarretaria prejuízo social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imediato e desproporcional. </w:t>
      </w:r>
    </w:p>
    <w:p>
      <w:pPr>
        <w:autoSpaceDN w:val="0"/>
        <w:autoSpaceDE w:val="0"/>
        <w:widowControl/>
        <w:spacing w:line="254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>7. Quanto à plausibilidade jurídica (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fumus boni iuris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), a AudContratações concluiu que procede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alegação de irregularidade na desclassificação da segunda colocada, Uchôa Construções Ltda.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Apontou que a exigência de comprovação de experiência com elevadores de exatamente ‘seis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paradas’ não foi acompanhada de justificativa que comprovasse sua relevância como parcela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técnica essencial, como determina o art. 67, § 1º, da Lei 14.133/2021.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8. Destacou, ainda, que o edital vedou a subcontratação de forma irrestrita, sem considerar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alternativa prevista no § 9º do mesmo artigo, que permite a comprovação de capacidade técnica por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meio de potenciais subcontratados para serviços especializados, o que pode ter restringido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indevidamente a competição. </w:t>
      </w:r>
    </w:p>
    <w:p>
      <w:pPr>
        <w:autoSpaceDN w:val="0"/>
        <w:autoSpaceDE w:val="0"/>
        <w:widowControl/>
        <w:spacing w:line="252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9. Assim, inferiu que acolher tal exigência teria resultado na rejeição da proposta mais vantajosa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para a Administração, com um prejuízo potencial de R$ 3.287.000,00, o que atenta contra 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princípio da economicidade.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10.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No que tange às demais alegações do denunciante, a unidade instrutora concluiu pela ausência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plausibilidade jurídica. Sobre a inabilitação da primeira colocada (Comtérmica), entendeu que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diligência foi regularmente instaurada e que o prazo concedido, embora curto, encontrava amparo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no edital, não havendo ilegalidade na decisão da comissão. Da mesma forma, afastou as alegações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direcionamento e de omissão da terceira colocada por falta de evidências concretas que as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sustentassem. </w:t>
      </w:r>
    </w:p>
    <w:p>
      <w:pPr>
        <w:autoSpaceDN w:val="0"/>
        <w:autoSpaceDE w:val="0"/>
        <w:widowControl/>
        <w:spacing w:line="254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11.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Diante desse quadro, a AudContratações propôs conhecer da denúncia, deferir a medida cautelar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para suspender o certame, bem como realizar a oitiva da Secretaria Estadual de Infraestrutura do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Rio Grande do Norte e da empresa vencedora, além de outras medidas saneadoras. </w:t>
      </w:r>
    </w:p>
    <w:p>
      <w:pPr>
        <w:autoSpaceDN w:val="0"/>
        <w:autoSpaceDE w:val="0"/>
        <w:widowControl/>
        <w:spacing w:line="244" w:lineRule="exact" w:before="12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12.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Passo a decidir.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13.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Preliminarmente, a denúncia deve ser conhecida, por preencher os requisitos de admissibilidade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previstos nos arts. 234 e 235 do Regimento Interno do TCU. A competência desta Corte firma-se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em razão da aplicação de recursos federais na obra, conforme estabelecido no Termo 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Compromisso 967566/2024/MS/Caixa (peça 19). </w:t>
      </w:r>
    </w:p>
    <w:p>
      <w:pPr>
        <w:autoSpaceDN w:val="0"/>
        <w:autoSpaceDE w:val="0"/>
        <w:widowControl/>
        <w:spacing w:line="252" w:lineRule="exact" w:before="122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14.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No que concerne à medida cautelar pleiteada, verifico estarem presentes seus pressupostos. 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periculum in mora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é manifesto, diante da homologação do certame em 10/6/2025 e da iminente </w:t>
      </w:r>
    </w:p>
    <w:p>
      <w:pPr>
        <w:autoSpaceDN w:val="0"/>
        <w:autoSpaceDE w:val="0"/>
        <w:widowControl/>
        <w:spacing w:line="266" w:lineRule="exact" w:before="476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2 </w:t>
      </w:r>
    </w:p>
    <w:p>
      <w:pPr>
        <w:autoSpaceDN w:val="0"/>
        <w:autoSpaceDE w:val="0"/>
        <w:widowControl/>
        <w:spacing w:line="220" w:lineRule="exact" w:before="570" w:after="0"/>
        <w:ind w:left="1210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78351368.</w:t>
      </w:r>
    </w:p>
    <w:p>
      <w:pPr>
        <w:sectPr>
          <w:pgSz w:w="11906" w:h="16838"/>
          <w:pgMar w:top="564" w:right="486" w:bottom="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50" w:val="left"/>
        </w:tabs>
        <w:autoSpaceDE w:val="0"/>
        <w:widowControl/>
        <w:spacing w:line="254" w:lineRule="exact" w:before="0" w:after="0"/>
        <w:ind w:left="1298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52" w:lineRule="exact" w:before="28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possibilidade de celebração de um contrato de mais de R$ 200 milhões, o que tornaria a decisão 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mérito desta Corte ineficaz. </w:t>
      </w:r>
    </w:p>
    <w:p>
      <w:pPr>
        <w:autoSpaceDN w:val="0"/>
        <w:autoSpaceDE w:val="0"/>
        <w:widowControl/>
        <w:spacing w:line="254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15.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Igualmente, corroboro a análise da unidade instrutora de que não se configura 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 xml:space="preserve">periculum in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 xml:space="preserve">mora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reverso, pois uma suspensão temporária para a devida apuração dos fatos não trará prejuízos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desproporcionais à população, considerando a natureza de médio prazo da obra.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16.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Ademais, acolho integralmente o seu percuciente exame quanto à inabilitação da empresa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Uchôa Construções Ltda, razão pela qual considero devidamente caracterizado 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fumus boni iuris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fato, a exigência de comprovação de experiência na instalação de elevadores com exatamente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‘seis paradas’, prevista no item 8.6.2.3, ‘h’, do edital, mostra-se um formalismo de questionável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razoabilidade, sobretudo quando não acompanhada, nos autos, de justificativa técnica que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demonstre sua essencialidade para a execução do objeto. </w:t>
      </w:r>
    </w:p>
    <w:p>
      <w:pPr>
        <w:autoSpaceDN w:val="0"/>
        <w:autoSpaceDE w:val="0"/>
        <w:widowControl/>
        <w:spacing w:line="254" w:lineRule="exact" w:before="11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17.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Tal exigência resultou na rejeição de uma proposta aproximadamente R$ 3,29 milhões mais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econômica, o que, por si só, já constitui forte indício de violação ao princípio da economicidade.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18.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Contudo, divirjo da conclusão da unidade instrutora ao afastar a plausibilidade jurídica quanto à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inabilitação da primeira colocada, a empresa Comtérmica. Embora a unidade tenha considerado 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ato regular, entendo que as circunstâncias da referida inabilitação, quando somadas aos demais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fatos, reforçam a necessidade de uma apuração mais aprofundada.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19.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 análise dos autos revela que, de fato, foi concedido um prazo de cerca de duas horas para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diligência que solicitava a reapresentação de um vasto conjunto de documentos, prazo este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efetivamente comunicado no sistema. Constata-se, todavia, a ausência de orientação direcionada da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comissão de licitação que individualizasse os documentos tidos por ilegíveis, procedimento que 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item 9.15 do edital parece exigir para garantir a clareza e a ampla defesa da licitante. </w:t>
      </w:r>
    </w:p>
    <w:p>
      <w:pPr>
        <w:autoSpaceDN w:val="0"/>
        <w:autoSpaceDE w:val="0"/>
        <w:widowControl/>
        <w:spacing w:line="254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20.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Observa-se que a condução dessa diligência contrasta com o procedimento adotado em relação à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quarta colocada. Nesse último caso, a comissão atuou para sanar um erro na planilha da empresa,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permitindo a continuidade no certame. A diferença na abordagem adotada em situações análogas é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um ponto que demanda profundo esclarecimento, a fim de que se possa aferir a estrita observância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do princípio da isonomia. </w:t>
      </w:r>
    </w:p>
    <w:p>
      <w:pPr>
        <w:autoSpaceDN w:val="0"/>
        <w:autoSpaceDE w:val="0"/>
        <w:widowControl/>
        <w:spacing w:line="252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21.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Por fim, no que se refere à alegação do denunciante de que a omissão da terceira colocada em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apresentar seus documentos seria um ato deliberado para favorecer a quarta, acolho, na íntegra, as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conclusões da AudContratações por sua improcedência. Com efeito, esse ponto carece de lastro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probatório mínimo, mantendo-se no campo da especulação, não se prestando, portanto, 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fundamentar a adoção da medida ora proposta.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22.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Nesse contexto, a plausibilidade jurídica que fundamenta esta decisão não se assenta em um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único ato isolado, mas na sucessão de ocorrências que, examinadas em conjunto, levantam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fundadas dúvidas sobre a regularidade do certame.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23.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O formalismo de pertinência controversa que inabilitou a segunda colocada, somado às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circunstâncias em que se deu a desclassificação da primeira, configura um quadro de indícios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suficientemente consistente para caracterizar o </w:t>
      </w:r>
      <w:r>
        <w:rPr>
          <w:spacing w:val="-10"/>
          <w:rFonts w:ascii="Times New Roman" w:hAnsi="Times New Roman" w:eastAsia="Times New Roman"/>
          <w:i/>
          <w:color w:val="000000"/>
          <w:sz w:val="22"/>
        </w:rPr>
        <w:t>fumus boni iuris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e tornar a adoção da medida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cautelar uma providência indispensável para a prudente e necessária apuração dos fatos. </w:t>
      </w:r>
    </w:p>
    <w:p>
      <w:pPr>
        <w:autoSpaceDN w:val="0"/>
        <w:autoSpaceDE w:val="0"/>
        <w:widowControl/>
        <w:spacing w:line="244" w:lineRule="exact" w:before="12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24.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Ante o exposto,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decido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: </w:t>
      </w:r>
    </w:p>
    <w:p>
      <w:pPr>
        <w:autoSpaceDN w:val="0"/>
        <w:autoSpaceDE w:val="0"/>
        <w:widowControl/>
        <w:spacing w:line="252" w:lineRule="exact" w:before="122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a) conhecer da presente denúncia, satisfeitos os requisitos de admissibilidade constantes nos arts.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234 e 235 do Regimento Interno do TCU, e no art. 103, § 1º, da Resolução - TCU 259/2014;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b) com fundamento no art. 276 do Regimento Interno do TCU,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 xml:space="preserve">deferir o pedido de concessão de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medida cautelar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, sem oitiva prévia, a fim de que a Secretaria Estadual de Infraestrutura do Rio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Grande do Norte suspenda a contratação do objeto licitado na Concorrência 90020/2024 até que 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Tribunal delibere sobre o mérito da matéria ora em apreço e, caso algum contrato já tenha sido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firmado, abstenha-se de praticar qualquer ato com vistas à sua execução até a deliberação definitiva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desta Corte; </w:t>
      </w:r>
    </w:p>
    <w:p>
      <w:pPr>
        <w:autoSpaceDN w:val="0"/>
        <w:autoSpaceDE w:val="0"/>
        <w:widowControl/>
        <w:spacing w:line="266" w:lineRule="exact" w:before="476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3 </w:t>
      </w:r>
    </w:p>
    <w:p>
      <w:pPr>
        <w:autoSpaceDN w:val="0"/>
        <w:autoSpaceDE w:val="0"/>
        <w:widowControl/>
        <w:spacing w:line="220" w:lineRule="exact" w:before="570" w:after="0"/>
        <w:ind w:left="1210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78351368.</w:t>
      </w:r>
    </w:p>
    <w:p>
      <w:pPr>
        <w:sectPr>
          <w:pgSz w:w="11906" w:h="16838"/>
          <w:pgMar w:top="564" w:right="486" w:bottom="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50" w:val="left"/>
        </w:tabs>
        <w:autoSpaceDE w:val="0"/>
        <w:widowControl/>
        <w:spacing w:line="254" w:lineRule="exact" w:before="0" w:after="0"/>
        <w:ind w:left="1298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52" w:lineRule="exact" w:before="28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c) com amparo no art. 276, § 3º, c/c art. 250, V, do Regimento Interno/TCU, realizar a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oitiva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da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Secretaria Estadual de Infraestrutura do Rio Grande do Norte, para que, no prazo de 15 (quinze)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dias, se pronuncie em relação aos pressupostos da cautelar deferida e quanto aos seguintes pontos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relativos à Concorrência 90020/2024: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c.1) inabilitação da licitante Comtérmica, pelo não atendimento de diligência para reapresentação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documentos, explicitando a razoabilidade do prazo concedido (aproximadamente duas horas)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frente ao volume de documentos solicitados, e os fundamentos para a não especificação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individualizada dos arquivos considerados ilegíveis;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c.2) inabilitação da licitante Uchôa Construções Ltda., pela não apresentação de atestado 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capacidade técnica referente à instalação de pelo menos dois elevadores com seis paradas, sem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demonstrar, de forma detalhada e objetiva, a motivação técnica que embasou a inclusão dessa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exigência como parcela de maior relevância técnica no edital, nos termos do art. 67, § 1º, da Lei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14.133/2021, configurando potencial cláusula restritiva à competitividade do certame;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d) realizar, nos termos do art. 276, § 3º, c/c art. 250, V, do Regimento Interno/TCU, a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oitiva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da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sociedade empresária Construtora Ramalho Moreira Ltda., para, no prazo de 15 (quinze) dias,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manifestar-se, caso queira, sobre os fatos constantes no item ‘c’ retro, assim como sobre 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pressupostos da cautelar adotada; </w:t>
      </w:r>
    </w:p>
    <w:p>
      <w:pPr>
        <w:autoSpaceDN w:val="0"/>
        <w:autoSpaceDE w:val="0"/>
        <w:widowControl/>
        <w:spacing w:line="254" w:lineRule="exact" w:before="11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e) considerando a possibilidade de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construção participativa das deliberações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deste Tribunal, nos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termos do art. 14 da Resolução-TCU 315/2020: </w:t>
      </w:r>
    </w:p>
    <w:p>
      <w:pPr>
        <w:autoSpaceDN w:val="0"/>
        <w:autoSpaceDE w:val="0"/>
        <w:widowControl/>
        <w:spacing w:line="254" w:lineRule="exact" w:before="11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e.1) solicitar à Secretaria Estadual de Infraestrutura do Rio Grande do Norte que, caso queira, no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prazo de 15 (quinze) dias, apresente: </w:t>
      </w:r>
    </w:p>
    <w:p>
      <w:pPr>
        <w:autoSpaceDN w:val="0"/>
        <w:autoSpaceDE w:val="0"/>
        <w:widowControl/>
        <w:spacing w:line="244" w:lineRule="exact" w:before="12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e.1.1) propostas de ações corretivas para os indícios de irregularidades detectados; </w:t>
      </w:r>
    </w:p>
    <w:p>
      <w:pPr>
        <w:autoSpaceDN w:val="0"/>
        <w:autoSpaceDE w:val="0"/>
        <w:widowControl/>
        <w:spacing w:line="244" w:lineRule="exact" w:before="130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e.1.2) subsídios para a avaliação da relação custo-benefício das medidas sugeridas; e </w:t>
      </w:r>
    </w:p>
    <w:p>
      <w:pPr>
        <w:autoSpaceDN w:val="0"/>
        <w:autoSpaceDE w:val="0"/>
        <w:widowControl/>
        <w:spacing w:line="252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e.1.3) manifestação quanto aos impactos decorrentes de eventual determinação deste Tribunal para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que a unidade jurisdicionada retorne a Concorrência 90020/2024 à fase de julgamento 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propostas;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e.2) informar à Secretaria Estadual de Infraestrutura do Rio Grande do Norte que sua manifestação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será avaliada na decisão de mérito, sem qualquer vinculação às decisões desta Corte, e que sua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ausência não impedirá o andamento processual, tampouco será considerada motivo para sanção; </w:t>
      </w:r>
    </w:p>
    <w:p>
      <w:pPr>
        <w:autoSpaceDN w:val="0"/>
        <w:autoSpaceDE w:val="0"/>
        <w:widowControl/>
        <w:spacing w:line="252" w:lineRule="exact" w:before="120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f)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diligenciar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a Secretaria Estadual de Infraestrutura do Rio Grande do Norte, com fundamento nos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artigos 157 e 187 do Regimento Interno deste Tribunal, para que, no prazo de 15 (quinze) dias,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encaminhe cópia dos seguintes documentos e/ou esclarecimentos: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f.1) manifestação acerca da expressa proibição de subcontratação constante do edital (item 16) 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sua aplicação à etapa de instalação dos elevadores, diante de suas peculiaridades técnicas e do fato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 que essa atividade é usualmente realizada pelas próprias fabricantes dos equipamentos,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considerando a previsão do § 9º do art. 67 da Lei 14.133/2021;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f.2) documentação comprobatória da diligência que resultou na inabilitação da licitante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Comtérmica, incluindo o despacho fundamentado e os registros que comprovem a acessibilidade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do ato a todos os licitantes, conforme exigido pelo art. 64, § 1º, da Lei 14.133/2021 e pelos itens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9.15 e 9.1.3.3 do edital; </w:t>
      </w:r>
    </w:p>
    <w:p>
      <w:pPr>
        <w:autoSpaceDN w:val="0"/>
        <w:autoSpaceDE w:val="0"/>
        <w:widowControl/>
        <w:spacing w:line="252" w:lineRule="exact" w:before="122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f.3) informação relativa à vinculação funcional do agente de contratação responsável pela condução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do certame aos quadros permanentes da administração pública, tendo em vista o disposto nos arts.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6º, inciso LX, e 8º, caput, da Lei 14.133/2021, ou sobre a existência de situações extraordinárias,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devidamente motivadas pela autoridade competente, que justifiquem o eventual não cumprimento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dos referidos dispositivos; </w:t>
      </w:r>
    </w:p>
    <w:p>
      <w:pPr>
        <w:autoSpaceDN w:val="0"/>
        <w:autoSpaceDE w:val="0"/>
        <w:widowControl/>
        <w:spacing w:line="254" w:lineRule="exact" w:before="11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f.4) indicação formal de interlocutor que conheça da matéria para dirimir eventuais dúvidas,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informando nome, função/cargo, e-mail e telefone de contato; </w:t>
      </w:r>
    </w:p>
    <w:p>
      <w:pPr>
        <w:autoSpaceDN w:val="0"/>
        <w:autoSpaceDE w:val="0"/>
        <w:widowControl/>
        <w:spacing w:line="244" w:lineRule="exact" w:before="128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f.5) demais informações/documentos que julgar necessários. </w:t>
      </w:r>
    </w:p>
    <w:p>
      <w:pPr>
        <w:autoSpaceDN w:val="0"/>
        <w:autoSpaceDE w:val="0"/>
        <w:widowControl/>
        <w:spacing w:line="266" w:lineRule="exact" w:before="116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4 </w:t>
      </w:r>
    </w:p>
    <w:p>
      <w:pPr>
        <w:autoSpaceDN w:val="0"/>
        <w:autoSpaceDE w:val="0"/>
        <w:widowControl/>
        <w:spacing w:line="220" w:lineRule="exact" w:before="570" w:after="0"/>
        <w:ind w:left="1210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78351368.</w:t>
      </w:r>
    </w:p>
    <w:p>
      <w:pPr>
        <w:sectPr>
          <w:pgSz w:w="11906" w:h="16838"/>
          <w:pgMar w:top="564" w:right="486" w:bottom="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50" w:val="left"/>
        </w:tabs>
        <w:autoSpaceDE w:val="0"/>
        <w:widowControl/>
        <w:spacing w:line="254" w:lineRule="exact" w:before="0" w:after="0"/>
        <w:ind w:left="1298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52" w:lineRule="exact" w:before="28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g) </w:t>
      </w:r>
      <w:r>
        <w:rPr>
          <w:spacing w:val="-10"/>
          <w:rFonts w:ascii="Times New Roman" w:hAnsi="Times New Roman" w:eastAsia="Times New Roman"/>
          <w:b/>
          <w:color w:val="000000"/>
          <w:sz w:val="22"/>
        </w:rPr>
        <w:t>solicitar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 à Secretaria Estadual de Infraestrutura do Rio Grande do Norte que informe a respeito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da existência de eventuais ações de controle/fiscalização sobre a Concorrência 90020/2024 no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âmbito do órgão, encaminhando cópia de documentos e informações que entender pertinentes; </w:t>
      </w:r>
    </w:p>
    <w:p>
      <w:pPr>
        <w:autoSpaceDN w:val="0"/>
        <w:autoSpaceDE w:val="0"/>
        <w:widowControl/>
        <w:spacing w:line="254" w:lineRule="exact" w:before="118" w:after="0"/>
        <w:ind w:left="1112" w:right="26" w:firstLine="0"/>
        <w:jc w:val="both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h) encaminhar cópia deste despacho e da instrução da AudContratações (peça 20) à Secretaria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Estadual de Infraestrutura do Rio Grande do Norte e à sociedade empresária Construtora Ramalho </w:t>
      </w: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Moreira Ltda., para subsidiar suas manifestações; e </w:t>
      </w:r>
    </w:p>
    <w:p>
      <w:pPr>
        <w:autoSpaceDN w:val="0"/>
        <w:autoSpaceDE w:val="0"/>
        <w:widowControl/>
        <w:spacing w:line="244" w:lineRule="exact" w:before="130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2"/>
        </w:rPr>
        <w:t xml:space="preserve">i) comunicar a presente decisão ao denunciante.” </w:t>
      </w:r>
    </w:p>
    <w:p>
      <w:pPr>
        <w:autoSpaceDN w:val="0"/>
        <w:autoSpaceDE w:val="0"/>
        <w:widowControl/>
        <w:spacing w:line="266" w:lineRule="exact" w:before="130" w:after="0"/>
        <w:ind w:left="111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É o relatório. </w:t>
      </w:r>
    </w:p>
    <w:p>
      <w:pPr>
        <w:autoSpaceDN w:val="0"/>
        <w:autoSpaceDE w:val="0"/>
        <w:widowControl/>
        <w:spacing w:line="266" w:lineRule="exact" w:before="11652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5 </w:t>
      </w:r>
    </w:p>
    <w:p>
      <w:pPr>
        <w:autoSpaceDN w:val="0"/>
        <w:autoSpaceDE w:val="0"/>
        <w:widowControl/>
        <w:spacing w:line="220" w:lineRule="exact" w:before="570" w:after="0"/>
        <w:ind w:left="1210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78351368.</w:t>
      </w:r>
    </w:p>
    <w:p>
      <w:pPr>
        <w:sectPr>
          <w:pgSz w:w="11906" w:h="16838"/>
          <w:pgMar w:top="564" w:right="486" w:bottom="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72" w:val="left"/>
        </w:tabs>
        <w:autoSpaceDE w:val="0"/>
        <w:widowControl/>
        <w:spacing w:line="254" w:lineRule="exact" w:before="0" w:after="0"/>
        <w:ind w:left="1320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66" w:lineRule="exact" w:before="562" w:after="0"/>
        <w:ind w:left="0" w:right="0" w:firstLine="0"/>
        <w:jc w:val="center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VOTO </w:t>
      </w:r>
    </w:p>
    <w:p>
      <w:pPr>
        <w:autoSpaceDN w:val="0"/>
        <w:autoSpaceDE w:val="0"/>
        <w:widowControl/>
        <w:spacing w:line="276" w:lineRule="exact" w:before="552" w:after="0"/>
        <w:ind w:left="0" w:right="22" w:firstLine="1134"/>
        <w:jc w:val="both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Trata-se de denúncia, com pedido de medida cautelar, a respeito de possíveis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irregularidades na Concorrência 90020/2024, conduzida pela Secretaria Estadual de Infraestrutura do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Rio Grande do Norte, cujo objeto é a contratação de empresa para a construção do Hospital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Metropolitano do referido estado. </w:t>
      </w:r>
    </w:p>
    <w:p>
      <w:pPr>
        <w:autoSpaceDN w:val="0"/>
        <w:tabs>
          <w:tab w:pos="1134" w:val="left"/>
        </w:tabs>
        <w:autoSpaceDE w:val="0"/>
        <w:widowControl/>
        <w:spacing w:line="276" w:lineRule="exact" w:before="12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2. </w:t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Em síntese, o denunciante alega que o certame foi conduzido com indícios de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direcionamento, notadamente a desclassificação da segunda colocada (Uchôa Construções Ltda.) por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exigência de qualificação de pertinência controversa, e a inabilitação da primeira colocada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(Comtérmica) em processo de diligência com aparente violação aos princípios da isonomia e da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razoabilidade. </w:t>
      </w:r>
    </w:p>
    <w:p>
      <w:pPr>
        <w:autoSpaceDN w:val="0"/>
        <w:tabs>
          <w:tab w:pos="1134" w:val="left"/>
        </w:tabs>
        <w:autoSpaceDE w:val="0"/>
        <w:widowControl/>
        <w:spacing w:line="276" w:lineRule="exact" w:before="12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3. </w:t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 partir das razões de decidir apresentadas no despacho transcrito no Relatório precedente,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e por vislumbrar a presença dos pressupostos do </w:t>
      </w:r>
      <w:r>
        <w:rPr>
          <w:spacing w:val="-10"/>
          <w:rFonts w:ascii="Times New Roman" w:hAnsi="Times New Roman" w:eastAsia="Times New Roman"/>
          <w:i/>
          <w:color w:val="000000"/>
          <w:sz w:val="24"/>
        </w:rPr>
        <w:t>fumus boni iuris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 e do </w:t>
      </w:r>
      <w:r>
        <w:rPr>
          <w:spacing w:val="-10"/>
          <w:rFonts w:ascii="Times New Roman" w:hAnsi="Times New Roman" w:eastAsia="Times New Roman"/>
          <w:i/>
          <w:color w:val="000000"/>
          <w:sz w:val="24"/>
        </w:rPr>
        <w:t>periculum in mora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, adotei a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medida cautelar para suspender o certame e determinei a realização das oitivas e diligências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pertinentes para o saneamento dos autos. </w:t>
      </w:r>
    </w:p>
    <w:p>
      <w:pPr>
        <w:autoSpaceDN w:val="0"/>
        <w:tabs>
          <w:tab w:pos="1134" w:val="left"/>
        </w:tabs>
        <w:autoSpaceDE w:val="0"/>
        <w:widowControl/>
        <w:spacing w:line="276" w:lineRule="exact" w:before="120" w:after="0"/>
        <w:ind w:left="0" w:right="0" w:firstLine="0"/>
        <w:jc w:val="left"/>
      </w:pP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Ante o exposto, e com fundamento no art. 276, § 1º, do Regimento Interno do TCU,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VOTO para que seja adotado o Acórdão que ora submeto a este Colegiado. </w:t>
      </w:r>
    </w:p>
    <w:p>
      <w:pPr>
        <w:autoSpaceDN w:val="0"/>
        <w:autoSpaceDE w:val="0"/>
        <w:widowControl/>
        <w:spacing w:line="266" w:lineRule="exact" w:before="802" w:after="0"/>
        <w:ind w:left="1134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TCU, Sala das Sessões, em 25 de junho de 2025. </w:t>
      </w:r>
    </w:p>
    <w:p>
      <w:pPr>
        <w:autoSpaceDN w:val="0"/>
        <w:autoSpaceDE w:val="0"/>
        <w:widowControl/>
        <w:spacing w:line="276" w:lineRule="exact" w:before="552" w:after="0"/>
        <w:ind w:left="3456" w:right="3600" w:firstLine="0"/>
        <w:jc w:val="center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Ministro BRUNO DANTAS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Relator </w:t>
      </w:r>
    </w:p>
    <w:p>
      <w:pPr>
        <w:autoSpaceDN w:val="0"/>
        <w:autoSpaceDE w:val="0"/>
        <w:widowControl/>
        <w:spacing w:line="266" w:lineRule="exact" w:before="6294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 </w:t>
      </w:r>
    </w:p>
    <w:p>
      <w:pPr>
        <w:autoSpaceDN w:val="0"/>
        <w:autoSpaceDE w:val="0"/>
        <w:widowControl/>
        <w:spacing w:line="220" w:lineRule="exact" w:before="570" w:after="0"/>
        <w:ind w:left="1232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78351369.</w:t>
      </w:r>
    </w:p>
    <w:p>
      <w:pPr>
        <w:sectPr>
          <w:pgSz w:w="11906" w:h="16838"/>
          <w:pgMar w:top="564" w:right="486" w:bottom="6" w:left="1418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346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89807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89807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1477010</wp:posOffset>
            </wp:positionH>
            <wp:positionV relativeFrom="page">
              <wp:posOffset>10532110</wp:posOffset>
            </wp:positionV>
            <wp:extent cx="4606290" cy="126895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126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8372" w:val="left"/>
        </w:tabs>
        <w:autoSpaceDE w:val="0"/>
        <w:widowControl/>
        <w:spacing w:line="254" w:lineRule="exact" w:before="0" w:after="0"/>
        <w:ind w:left="1320" w:right="0" w:firstLine="0"/>
        <w:jc w:val="left"/>
      </w:pPr>
      <w:r>
        <w:rPr>
          <w:spacing w:val="-10"/>
          <w:rFonts w:ascii="Arial Black" w:hAnsi="Arial Black" w:eastAsia="Arial Black"/>
          <w:color w:val="000000"/>
          <w:sz w:val="18"/>
        </w:rPr>
        <w:t xml:space="preserve">TRIBUNAL DE CONTAS DA UNIÃO </w:t>
      </w:r>
      <w:r>
        <w:tab/>
      </w:r>
      <w:r>
        <w:rPr>
          <w:spacing w:val="-10"/>
          <w:rFonts w:ascii="Arial" w:hAnsi="Arial" w:eastAsia="Arial"/>
          <w:color w:val="000000"/>
          <w:sz w:val="18"/>
        </w:rPr>
        <w:t>TC 009.048/2025-1</w:t>
      </w:r>
    </w:p>
    <w:p>
      <w:pPr>
        <w:autoSpaceDN w:val="0"/>
        <w:autoSpaceDE w:val="0"/>
        <w:widowControl/>
        <w:spacing w:line="264" w:lineRule="exact" w:before="570" w:after="0"/>
        <w:ind w:left="0" w:right="2632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ACÓRDÃO Nº 1376/2025 – TCU – Plenário </w:t>
      </w:r>
    </w:p>
    <w:p>
      <w:pPr>
        <w:autoSpaceDN w:val="0"/>
        <w:autoSpaceDE w:val="0"/>
        <w:widowControl/>
        <w:spacing w:line="264" w:lineRule="exact" w:before="288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1. Processo nº TC 009.048/2025-1. </w:t>
      </w:r>
    </w:p>
    <w:p>
      <w:pPr>
        <w:autoSpaceDN w:val="0"/>
        <w:autoSpaceDE w:val="0"/>
        <w:widowControl/>
        <w:spacing w:line="264" w:lineRule="exact" w:before="12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2. Grupo I – Classe de Assunto: VII – Representação. </w:t>
      </w:r>
    </w:p>
    <w:p>
      <w:pPr>
        <w:autoSpaceDN w:val="0"/>
        <w:autoSpaceDE w:val="0"/>
        <w:widowControl/>
        <w:spacing w:line="276" w:lineRule="exact" w:before="0" w:after="0"/>
        <w:ind w:left="0" w:right="2448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3. Interessados/Responsáveis: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3.1. Interessado: Identidade preservada (art. 55, caput, da Lei n. 8.443/1992). </w:t>
      </w:r>
    </w:p>
    <w:p>
      <w:pPr>
        <w:autoSpaceDN w:val="0"/>
        <w:autoSpaceDE w:val="0"/>
        <w:widowControl/>
        <w:spacing w:line="264" w:lineRule="exact" w:before="12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3.2. Responsável: Identidade preservada (art. 55, caput, da Lei n. 8.443/1992).. </w:t>
      </w:r>
    </w:p>
    <w:p>
      <w:pPr>
        <w:autoSpaceDN w:val="0"/>
        <w:autoSpaceDE w:val="0"/>
        <w:widowControl/>
        <w:spacing w:line="276" w:lineRule="exact" w:before="0" w:after="0"/>
        <w:ind w:left="0" w:right="1296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4. Unidade Jurisdicionada: Secretária Estadual de Infraestrutura do Rio Grande do Norte.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5. Relator: Ministro Bruno Dantas. </w:t>
      </w:r>
    </w:p>
    <w:p>
      <w:pPr>
        <w:autoSpaceDN w:val="0"/>
        <w:autoSpaceDE w:val="0"/>
        <w:widowControl/>
        <w:spacing w:line="266" w:lineRule="exact" w:before="1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6. Representante do Ministério Público: não atuou. </w:t>
      </w:r>
    </w:p>
    <w:p>
      <w:pPr>
        <w:autoSpaceDN w:val="0"/>
        <w:autoSpaceDE w:val="0"/>
        <w:widowControl/>
        <w:spacing w:line="266" w:lineRule="exact" w:before="1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7. Unidade Técnica: Unidade de Auditoria Especializada em Contratações (AudContratações). </w:t>
      </w:r>
    </w:p>
    <w:p>
      <w:pPr>
        <w:autoSpaceDN w:val="0"/>
        <w:autoSpaceDE w:val="0"/>
        <w:widowControl/>
        <w:spacing w:line="266" w:lineRule="exact" w:before="1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8. Representação legal: não há </w:t>
      </w:r>
    </w:p>
    <w:p>
      <w:pPr>
        <w:autoSpaceDN w:val="0"/>
        <w:tabs>
          <w:tab w:pos="1134" w:val="left"/>
        </w:tabs>
        <w:autoSpaceDE w:val="0"/>
        <w:widowControl/>
        <w:spacing w:line="276" w:lineRule="exact" w:before="276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9. Acórdão: </w:t>
      </w:r>
      <w:r>
        <w:br/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VISTOS, relatados e discutidos estes autos de denúncia, com pedido de medida cautelar, a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respeito de possíveis irregularidades na Concorrência 90020/2024, conduzida pela Secretaria Estadual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de Infraestrutura do Rio Grande do Norte, cujo objeto é a contratação de empresa para a construção do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Hospital Metropolitano do referido estado, </w:t>
      </w:r>
      <w:r>
        <w:br/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ACORDAM os Ministros do Tribunal de Contas da União, reunidos em sessão plenária,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ante as razões expostas pelo, em: </w:t>
      </w:r>
      <w:r>
        <w:br/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9.1. com fulcro no art. 276, </w:t>
      </w:r>
      <w:r>
        <w:rPr>
          <w:spacing w:val="-10"/>
          <w:rFonts w:ascii="Times New Roman" w:hAnsi="Times New Roman" w:eastAsia="Times New Roman"/>
          <w:b/>
          <w:color w:val="000000"/>
          <w:sz w:val="24"/>
        </w:rPr>
        <w:t>caput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, do Regimento Interno/TCU, referendar a medida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cautelar adotada pelo relator por meio do despacho contido na peça 23 destes autos, transcrito no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Relatório que precede este acórdão, bem como as medidas acessórias constantes no mencionado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despacho; </w:t>
      </w:r>
      <w:r>
        <w:br/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9.2. encaminhar cópia desta deliberação à Secretária Estadual de Infraestrutura do Rio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Grande do Norte e ao denunciante. </w:t>
      </w:r>
    </w:p>
    <w:p>
      <w:pPr>
        <w:autoSpaceDN w:val="0"/>
        <w:autoSpaceDE w:val="0"/>
        <w:widowControl/>
        <w:spacing w:line="266" w:lineRule="exact" w:before="286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10. Ata n° 24/2025 – Plenário. </w:t>
      </w:r>
    </w:p>
    <w:p>
      <w:pPr>
        <w:autoSpaceDN w:val="0"/>
        <w:autoSpaceDE w:val="0"/>
        <w:widowControl/>
        <w:spacing w:line="266" w:lineRule="exact" w:before="1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11. Data da Sessão: 25/6/2025 – Ordinária. </w:t>
      </w:r>
    </w:p>
    <w:p>
      <w:pPr>
        <w:autoSpaceDN w:val="0"/>
        <w:autoSpaceDE w:val="0"/>
        <w:widowControl/>
        <w:spacing w:line="266" w:lineRule="exact" w:before="1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12. Código eletrônico para localização na página do TCU na Internet: AC-1376-24/25-P. </w:t>
      </w:r>
    </w:p>
    <w:p>
      <w:pPr>
        <w:autoSpaceDN w:val="0"/>
        <w:autoSpaceDE w:val="0"/>
        <w:widowControl/>
        <w:spacing w:line="276" w:lineRule="exact" w:before="0" w:after="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13. Especificação do quórum: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13.1. Ministros presentes: Jorge Oliveira (na Presidência), Walton Alencar Rodrigues, Benjamin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Zymler, Bruno Dantas (Relator) e Jhonatan de Jesus. </w:t>
      </w:r>
    </w:p>
    <w:p>
      <w:pPr>
        <w:autoSpaceDN w:val="0"/>
        <w:autoSpaceDE w:val="0"/>
        <w:widowControl/>
        <w:spacing w:line="266" w:lineRule="exact" w:before="10" w:after="560"/>
        <w:ind w:left="0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13.2. Ministros-Substitutos convocados: Marcos Bemquerer Costa e Weder de Oliveira. </w:t>
      </w:r>
    </w:p>
    <w:p>
      <w:pPr>
        <w:sectPr>
          <w:pgSz w:w="11906" w:h="16838"/>
          <w:pgMar w:top="564" w:right="486" w:bottom="6" w:left="1418" w:header="720" w:footer="720" w:gutter="0"/>
          <w:cols/>
          <w:docGrid w:linePitch="360"/>
        </w:sectPr>
      </w:pPr>
    </w:p>
    <w:p>
      <w:pPr>
        <w:autoSpaceDN w:val="0"/>
        <w:tabs>
          <w:tab w:pos="6392" w:val="left"/>
        </w:tabs>
        <w:autoSpaceDE w:val="0"/>
        <w:widowControl/>
        <w:spacing w:line="222" w:lineRule="exact" w:before="0" w:after="0"/>
        <w:ind w:left="1292" w:right="0" w:firstLine="0"/>
        <w:jc w:val="left"/>
      </w:pPr>
      <w:r>
        <w:rPr>
          <w:spacing w:val="-10"/>
          <w:rFonts w:ascii="Times New Roman" w:hAnsi="Times New Roman" w:eastAsia="Times New Roman"/>
          <w:color w:val="000000"/>
          <w:sz w:val="20"/>
        </w:rPr>
        <w:t xml:space="preserve">(Assinado Eletronicamente) </w:t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0"/>
        </w:rPr>
        <w:t xml:space="preserve">(Assinado Eletronicamente) </w:t>
      </w:r>
    </w:p>
    <w:p>
      <w:pPr>
        <w:autoSpaceDN w:val="0"/>
        <w:tabs>
          <w:tab w:pos="1440" w:val="left"/>
          <w:tab w:pos="6574" w:val="left"/>
          <w:tab w:pos="7158" w:val="left"/>
        </w:tabs>
        <w:autoSpaceDE w:val="0"/>
        <w:widowControl/>
        <w:spacing w:line="276" w:lineRule="exact" w:before="0" w:after="0"/>
        <w:ind w:left="268" w:right="1440" w:firstLine="0"/>
        <w:jc w:val="left"/>
      </w:pP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JORGE OLIVEIRA </w:t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BRUNO DANTAS </w:t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Vice-Presidente, no exercício da Presidência </w:t>
      </w:r>
      <w:r>
        <w:tab/>
      </w:r>
      <w:r>
        <w:tab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Relator </w:t>
      </w:r>
    </w:p>
    <w:p>
      <w:pPr>
        <w:autoSpaceDN w:val="0"/>
        <w:autoSpaceDE w:val="0"/>
        <w:widowControl/>
        <w:spacing w:line="266" w:lineRule="exact" w:before="562" w:after="0"/>
        <w:ind w:left="0" w:right="0" w:firstLine="0"/>
        <w:jc w:val="center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Fui presente: </w:t>
      </w:r>
    </w:p>
    <w:p>
      <w:pPr>
        <w:autoSpaceDN w:val="0"/>
        <w:autoSpaceDE w:val="0"/>
        <w:widowControl/>
        <w:spacing w:line="222" w:lineRule="exact" w:before="560" w:after="0"/>
        <w:ind w:left="0" w:right="0" w:firstLine="0"/>
        <w:jc w:val="center"/>
      </w:pPr>
      <w:r>
        <w:rPr>
          <w:spacing w:val="-10"/>
          <w:rFonts w:ascii="Times New Roman" w:hAnsi="Times New Roman" w:eastAsia="Times New Roman"/>
          <w:color w:val="000000"/>
          <w:sz w:val="20"/>
        </w:rPr>
        <w:t xml:space="preserve">(Assinado Eletronicamente) </w:t>
      </w:r>
    </w:p>
    <w:p>
      <w:pPr>
        <w:autoSpaceDN w:val="0"/>
        <w:autoSpaceDE w:val="0"/>
        <w:widowControl/>
        <w:spacing w:line="276" w:lineRule="exact" w:before="0" w:after="0"/>
        <w:ind w:left="2592" w:right="2592" w:firstLine="0"/>
        <w:jc w:val="center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CRISTINA MACHADO DA COSTA E SILVA </w:t>
      </w:r>
      <w:r>
        <w:br/>
      </w: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Procuradora-Geral </w:t>
      </w:r>
    </w:p>
    <w:p>
      <w:pPr>
        <w:autoSpaceDN w:val="0"/>
        <w:autoSpaceDE w:val="0"/>
        <w:widowControl/>
        <w:spacing w:line="266" w:lineRule="exact" w:before="908" w:after="0"/>
        <w:ind w:left="0" w:right="20" w:firstLine="0"/>
        <w:jc w:val="right"/>
      </w:pPr>
      <w:r>
        <w:rPr>
          <w:spacing w:val="-10"/>
          <w:rFonts w:ascii="Times New Roman" w:hAnsi="Times New Roman" w:eastAsia="Times New Roman"/>
          <w:color w:val="000000"/>
          <w:sz w:val="24"/>
        </w:rPr>
        <w:t xml:space="preserve">1 </w:t>
      </w:r>
    </w:p>
    <w:p>
      <w:pPr>
        <w:autoSpaceDN w:val="0"/>
        <w:autoSpaceDE w:val="0"/>
        <w:widowControl/>
        <w:spacing w:line="220" w:lineRule="exact" w:before="570" w:after="0"/>
        <w:ind w:left="1232" w:right="0" w:firstLine="0"/>
        <w:jc w:val="left"/>
      </w:pPr>
      <w:r>
        <w:rPr>
          <w:spacing w:val="-10"/>
          <w:rFonts w:ascii="Helvetica" w:hAnsi="Helvetica" w:eastAsia="Helvetica"/>
          <w:color w:val="000000"/>
          <w:sz w:val="16"/>
        </w:rPr>
        <w:t>Para verificar as assinaturas, acesse www.tcu.gov.br/autenticidade e informe o código 78351372.</w:t>
      </w:r>
    </w:p>
    <w:sectPr w:rsidR="00FC693F" w:rsidRPr="0006063C" w:rsidSect="00034616">
      <w:type w:val="continuous"/>
      <w:pgSz w:w="11906" w:h="16838"/>
      <w:pgMar w:top="564" w:right="486" w:bottom="6" w:left="1418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